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3291840" cy="41148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411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color w:val="92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920000"/>
          <w:sz w:val="32"/>
          <w:szCs w:val="32"/>
          <w:rtl w:val="0"/>
        </w:rPr>
        <w:t xml:space="preserve">WRITING CENTER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Times New Roman" w:cs="Times New Roman" w:eastAsia="Times New Roman" w:hAnsi="Times New Roman"/>
          <w:color w:val="92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920000"/>
          <w:sz w:val="28"/>
          <w:szCs w:val="28"/>
          <w:rtl w:val="0"/>
        </w:rPr>
        <w:t xml:space="preserve">Cullom-Davis Library 311/312 ● 309-677-3254 ● bradley.edu/writeright ●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color w:val="92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Semicolon Use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Semicolons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are generally used as follows: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join together two independent clauses that are related to one another. 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92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92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20000"/>
          <w:sz w:val="24"/>
          <w:szCs w:val="24"/>
          <w:rtl w:val="0"/>
        </w:rPr>
        <w:t xml:space="preserve">*Independent clauses are complete sentences.*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92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(ex.) The grocery store was crowded; it’s always busy on Sundays.</w:t>
      </w:r>
    </w:p>
    <w:p w:rsidR="00000000" w:rsidDel="00000000" w:rsidP="00000000" w:rsidRDefault="00000000" w:rsidRPr="00000000" w14:paraId="0000000E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(ex.) She couldn’t believe what she was seeing; the cat was on the roof!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Between two independent clauses that are connected by a conjunctive adverb or transitional phrase.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92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20000"/>
          <w:sz w:val="24"/>
          <w:szCs w:val="24"/>
          <w:rtl w:val="0"/>
        </w:rPr>
        <w:t xml:space="preserve">*Conjunctive adverbs are words/phrases such as however, therefore, as a result, similarly, nonetheless, etc. Typically, these phrases are preceded by a semicolon and followed by a comma.*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92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(ex.) I didn’t really want to go to the party; however, I went anyway. </w:t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(ex.) Susan did the laundry; meanwhile, Jack started cooking dinner.</w:t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separate items in a list that contains commas.</w:t>
      </w:r>
    </w:p>
    <w:p w:rsidR="00000000" w:rsidDel="00000000" w:rsidP="00000000" w:rsidRDefault="00000000" w:rsidRPr="00000000" w14:paraId="00000018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(ex.) I bought milk, cheese, and eggs from the grocery store; onions, potatoes, and corn from the farmer’s market; and flowers from the nursery. </w:t>
      </w:r>
    </w:p>
    <w:p w:rsidR="00000000" w:rsidDel="00000000" w:rsidP="00000000" w:rsidRDefault="00000000" w:rsidRPr="00000000" w14:paraId="0000001A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(ex.) Sam studies math, English, and science on Tuesdays; and he studies Spanish, history, and music on Wednesdays.</w:t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Still unsure about when to use a semicolon?  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Make an appointment with the Writing Center!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Library, Room 311/312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30"/>
            <w:szCs w:val="30"/>
            <w:u w:val="single"/>
            <w:rtl w:val="0"/>
          </w:rPr>
          <w:t xml:space="preserve">www.bradley.edu/writeright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bradley.edu/write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